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7E1B01EC" w:rsidR="00DB451C" w:rsidRPr="008F7BC8" w:rsidRDefault="007342B1" w:rsidP="008F7BC8">
      <w:pPr>
        <w:jc w:val="center"/>
        <w:rPr>
          <w:rFonts w:cstheme="minorHAnsi"/>
          <w:b/>
          <w:color w:val="000000" w:themeColor="text1"/>
          <w:sz w:val="28"/>
          <w:szCs w:val="28"/>
        </w:rPr>
      </w:pPr>
      <w:r>
        <w:rPr>
          <w:rFonts w:cstheme="minorHAnsi"/>
          <w:b/>
          <w:color w:val="000000" w:themeColor="text1"/>
          <w:sz w:val="28"/>
          <w:szCs w:val="28"/>
        </w:rPr>
        <w:t>AS200 LEXAN</w:t>
      </w:r>
      <w:r w:rsidR="00D27E40" w:rsidRPr="007208A6">
        <w:rPr>
          <w:rFonts w:cstheme="minorHAnsi"/>
          <w:b/>
          <w:color w:val="000000" w:themeColor="text1"/>
          <w:sz w:val="28"/>
          <w:szCs w:val="28"/>
        </w:rPr>
        <w:t xml:space="preserve"> VISTA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5CE39B52" w:rsidR="00D27E40" w:rsidRPr="007208A6" w:rsidRDefault="007342B1" w:rsidP="00966703">
      <w:pPr>
        <w:pStyle w:val="ARCATParagraph"/>
      </w:pPr>
      <w:r>
        <w:t>AS200 LEXAN</w:t>
      </w:r>
      <w:r w:rsidR="00C378E3" w:rsidRPr="007208A6">
        <w:t xml:space="preserve"> VISTA</w:t>
      </w:r>
      <w:r w:rsidR="00D27E40" w:rsidRPr="007208A6">
        <w:t xml:space="preserve"> Sliding Security Grille</w:t>
      </w:r>
    </w:p>
    <w:p w14:paraId="6F4C3BC1" w14:textId="77777777" w:rsidR="0011037A" w:rsidRPr="007208A6" w:rsidRDefault="00D27E40" w:rsidP="00966703">
      <w:pPr>
        <w:pStyle w:val="ARCATSubPara"/>
      </w:pPr>
      <w:r w:rsidRPr="007208A6">
        <w:t xml:space="preserve">Curtain: </w:t>
      </w:r>
    </w:p>
    <w:p w14:paraId="5A9D5AF1" w14:textId="77777777" w:rsidR="00065A2B" w:rsidRPr="007208A6" w:rsidRDefault="00D27E40" w:rsidP="00966703">
      <w:pPr>
        <w:pStyle w:val="ARCATSubSub1"/>
      </w:pPr>
      <w:r w:rsidRPr="007208A6">
        <w:t xml:space="preserve">Panels to have full height butt hinges on 7 inches (178 mm) centers. </w:t>
      </w:r>
    </w:p>
    <w:p w14:paraId="61B6A4E4" w14:textId="77777777" w:rsidR="00D27E40" w:rsidRPr="007208A6" w:rsidRDefault="00D27E40" w:rsidP="00966703">
      <w:pPr>
        <w:pStyle w:val="ARCATSubSub1"/>
      </w:pPr>
      <w:r w:rsidRPr="007208A6">
        <w:t>Panel</w:t>
      </w:r>
      <w:r w:rsidR="00065A2B" w:rsidRPr="007208A6">
        <w:t>s</w:t>
      </w:r>
      <w:r w:rsidRPr="007208A6">
        <w:t xml:space="preserve"> to have 4 inches (102 mm) high truss-like plates at the top and bottom of the closure.</w:t>
      </w:r>
    </w:p>
    <w:p w14:paraId="36E0BAC3" w14:textId="77777777" w:rsidR="00BA1984" w:rsidRPr="007208A6" w:rsidRDefault="00BA1984" w:rsidP="00966703">
      <w:pPr>
        <w:pStyle w:val="ARCATSubSub1"/>
      </w:pPr>
      <w:r w:rsidRPr="007208A6">
        <w:t>Panel Inserts are separated by 1” height aluminum extrusions with “T” shaped ends to fit into full height aluminum extruded channels for added strength.</w:t>
      </w:r>
    </w:p>
    <w:p w14:paraId="66698EF3" w14:textId="439BBC38" w:rsidR="00065A2B" w:rsidRPr="007208A6" w:rsidRDefault="00065A2B" w:rsidP="00966703">
      <w:pPr>
        <w:pStyle w:val="ARCATSubSub1"/>
      </w:pPr>
      <w:r w:rsidRPr="007208A6">
        <w:t xml:space="preserve">Constructed of 6 inches (152 mm) wide by 1/8 inch (3.2 </w:t>
      </w:r>
      <w:r w:rsidR="00BA1984" w:rsidRPr="007208A6">
        <w:t>mm) thick</w:t>
      </w:r>
      <w:r w:rsidR="008F7C5C">
        <w:t xml:space="preserve"> clear polycarbonate</w:t>
      </w:r>
      <w:r w:rsidR="00BA1984" w:rsidRPr="007208A6">
        <w:t xml:space="preserve"> panel inserts.</w:t>
      </w:r>
    </w:p>
    <w:p w14:paraId="7A9DDE62" w14:textId="068AE69A" w:rsidR="00065A2B" w:rsidRPr="007208A6" w:rsidRDefault="008F7C5C" w:rsidP="00966703">
      <w:pPr>
        <w:pStyle w:val="ARCATSubSub1"/>
      </w:pPr>
      <w:r>
        <w:t>Clear polycarbonate p</w:t>
      </w:r>
      <w:r w:rsidR="007342B1">
        <w:t>anel</w:t>
      </w:r>
      <w:r>
        <w:t>s</w:t>
      </w:r>
      <w:r w:rsidR="007342B1">
        <w:t xml:space="preserve"> </w:t>
      </w:r>
      <w:r>
        <w:t>are</w:t>
      </w:r>
      <w:r w:rsidR="00065A2B" w:rsidRPr="007208A6">
        <w:t xml:space="preserve"> sandwiched between co-extruded neoprene and P.V.C. gaskets. </w:t>
      </w:r>
    </w:p>
    <w:p w14:paraId="15695B34" w14:textId="6D45E276" w:rsidR="00D27E40" w:rsidRPr="007208A6" w:rsidRDefault="00D27E40" w:rsidP="007342B1">
      <w:pPr>
        <w:pStyle w:val="ARCATSubPara"/>
      </w:pPr>
      <w:r w:rsidRPr="007208A6">
        <w:lastRenderedPageBreak/>
        <w:t xml:space="preserve">Weight: </w:t>
      </w:r>
      <w:r w:rsidR="0009445C" w:rsidRPr="007208A6">
        <w:t>AS</w:t>
      </w:r>
      <w:r w:rsidR="007342B1">
        <w:t>2</w:t>
      </w:r>
      <w:r w:rsidR="001C028F">
        <w:t>00 Lexan</w:t>
      </w:r>
      <w:r w:rsidR="0009445C" w:rsidRPr="007208A6">
        <w:t xml:space="preserve"> Vista</w:t>
      </w:r>
      <w:r w:rsidR="007342B1">
        <w:t>: 2.25</w:t>
      </w:r>
      <w:r w:rsidR="00492466">
        <w:t xml:space="preserve"> </w:t>
      </w:r>
      <w:r w:rsidR="004C1DFC">
        <w:t>lbs./sq. ft. (11</w:t>
      </w:r>
      <w:r w:rsidRPr="007208A6">
        <w:t xml:space="preserve"> kg/</w:t>
      </w:r>
      <w:proofErr w:type="spellStart"/>
      <w:r w:rsidRPr="007208A6">
        <w:t>sq.m</w:t>
      </w:r>
      <w:proofErr w:type="spellEnd"/>
      <w:r w:rsidRPr="007208A6">
        <w:t>).</w:t>
      </w:r>
    </w:p>
    <w:p w14:paraId="05DC8846" w14:textId="77777777" w:rsidR="00D27E40" w:rsidRPr="007208A6" w:rsidRDefault="00D27E40" w:rsidP="00966703">
      <w:pPr>
        <w:pStyle w:val="ARCATSubPara"/>
      </w:pPr>
      <w:r w:rsidRPr="007208A6">
        <w:t>Aluminum is to be 6063 aluminum alloy with T-5 temper conforming to ASTM B 221.</w:t>
      </w:r>
    </w:p>
    <w:p w14:paraId="7864A99C" w14:textId="77777777" w:rsidR="00D27E40" w:rsidRPr="007208A6" w:rsidRDefault="00D27E40" w:rsidP="00966703">
      <w:pPr>
        <w:pStyle w:val="ARCATSubPara"/>
      </w:pPr>
      <w:r w:rsidRPr="007208A6">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00ECD5B"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77777777"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C35D8B2" w:rsidR="00C35A03" w:rsidRDefault="00C35A03" w:rsidP="005F7D74">
      <w:pPr>
        <w:pStyle w:val="ARCATSubSub3"/>
      </w:pPr>
      <w:r w:rsidRPr="007208A6">
        <w:t>Provide (#4) intermediate posts at maximum of 10 feet (3048 mm) of curtain length for floor mounting condition. For counter mounts and at each curve provide intermediate posts at maximum of 6 feet (1828 mm) of curtain length.</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77777777" w:rsidR="00C35A03" w:rsidRPr="00357346" w:rsidRDefault="00C35A03" w:rsidP="005F7D74">
      <w:pPr>
        <w:pStyle w:val="ARCATSubSub3"/>
        <w:numPr>
          <w:ilvl w:val="6"/>
          <w:numId w:val="11"/>
        </w:numPr>
        <w:rPr>
          <w:color w:val="0070C0"/>
        </w:rPr>
      </w:pPr>
      <w:r w:rsidRPr="00357346">
        <w:rPr>
          <w:color w:val="0070C0"/>
        </w:rPr>
        <w:t>Provide (#3) intermediate posts with an adjustable manually operated drop bolt with cylinder locks.</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7777777"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 a keyed cylinder or thumb turn 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77777777"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5F7D74">
      <w:pPr>
        <w:pStyle w:val="ARCATSubSub3"/>
        <w:numPr>
          <w:ilvl w:val="0"/>
          <w:numId w:val="0"/>
        </w:numPr>
        <w:ind w:left="3456"/>
      </w:pPr>
    </w:p>
    <w:p w14:paraId="334C88E5" w14:textId="77777777" w:rsidR="00836220" w:rsidRPr="007208A6" w:rsidRDefault="00D27E40" w:rsidP="00966703">
      <w:pPr>
        <w:pStyle w:val="ARCATSubSub1"/>
      </w:pPr>
      <w:r w:rsidRPr="007208A6">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1BDB2C6E"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One lock member will retain a hook-bolt deadlock activated by 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04CB90AA" w14:textId="36EFF273" w:rsidR="00B96B87" w:rsidRDefault="00FE79E0" w:rsidP="007342B1">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639EEAEE" w14:textId="1427F81E" w:rsidR="007342B1" w:rsidRDefault="007342B1" w:rsidP="007342B1">
      <w:pPr>
        <w:pStyle w:val="ARCATSubSub3"/>
        <w:numPr>
          <w:ilvl w:val="0"/>
          <w:numId w:val="0"/>
        </w:numPr>
        <w:ind w:left="3456"/>
        <w:rPr>
          <w:color w:val="0070C0"/>
        </w:rPr>
      </w:pPr>
    </w:p>
    <w:p w14:paraId="5C665709" w14:textId="5D25E0B0" w:rsidR="00D303F8" w:rsidRDefault="00D303F8" w:rsidP="007342B1">
      <w:pPr>
        <w:pStyle w:val="ARCATSubSub3"/>
        <w:numPr>
          <w:ilvl w:val="0"/>
          <w:numId w:val="0"/>
        </w:numPr>
        <w:ind w:left="3456"/>
        <w:rPr>
          <w:color w:val="0070C0"/>
        </w:rPr>
      </w:pPr>
    </w:p>
    <w:p w14:paraId="1129B9C6" w14:textId="77777777" w:rsidR="00D303F8" w:rsidRPr="007342B1" w:rsidRDefault="00D303F8" w:rsidP="007342B1">
      <w:pPr>
        <w:pStyle w:val="ARCATSubSub3"/>
        <w:numPr>
          <w:ilvl w:val="0"/>
          <w:numId w:val="0"/>
        </w:numPr>
        <w:ind w:left="3456"/>
        <w:rPr>
          <w:color w:val="0070C0"/>
        </w:rPr>
      </w:pPr>
    </w:p>
    <w:p w14:paraId="244246F2" w14:textId="2DB7149F" w:rsidR="00FE79E0" w:rsidRPr="007208A6" w:rsidRDefault="00867E92" w:rsidP="007342B1">
      <w:pPr>
        <w:pStyle w:val="ARCATSubPara"/>
      </w:pPr>
      <w:r>
        <w:lastRenderedPageBreak/>
        <w:t>Emergency Egress Door (Optional):</w:t>
      </w:r>
    </w:p>
    <w:p w14:paraId="41ABAE74" w14:textId="08C8A1BF" w:rsidR="002A7BC4" w:rsidRDefault="00836220" w:rsidP="008F7C5C">
      <w:pPr>
        <w:pStyle w:val="ARCATSubSub1"/>
        <w:tabs>
          <w:tab w:val="num" w:pos="2304"/>
        </w:tabs>
      </w:pPr>
      <w:r w:rsidRPr="007208A6">
        <w:t>E</w:t>
      </w:r>
      <w:r w:rsidR="00867E92">
        <w:t>mergency Egress provided as required. Where local by-laws dictate provide fall-away man-door egress operable by means of thumb-turn. Door should no</w:t>
      </w:r>
      <w:r w:rsidR="006A6DD5">
        <w:t>t</w:t>
      </w:r>
      <w:r w:rsidR="00867E92">
        <w:t xml:space="preserve"> be used as regular means of </w:t>
      </w:r>
      <w:r w:rsidR="008F7C5C">
        <w:t>passage</w:t>
      </w:r>
      <w:r w:rsidR="00867E92">
        <w:t>.</w:t>
      </w:r>
    </w:p>
    <w:p w14:paraId="13F1D470" w14:textId="77777777" w:rsidR="00D303F8" w:rsidRDefault="00D303F8" w:rsidP="00D303F8">
      <w:pPr>
        <w:pStyle w:val="ARCATSubSub1"/>
        <w:numPr>
          <w:ilvl w:val="0"/>
          <w:numId w:val="0"/>
        </w:numPr>
        <w:ind w:left="2304"/>
      </w:pPr>
    </w:p>
    <w:p w14:paraId="419E1E8B" w14:textId="3154DEC4" w:rsidR="007F2B1F" w:rsidRPr="007208A6" w:rsidRDefault="002A7BC4" w:rsidP="002A7BC4">
      <w:pPr>
        <w:pStyle w:val="ARCATSubPara"/>
      </w:pPr>
      <w:r>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764F3079" w14:textId="77777777" w:rsidR="00A73E6C" w:rsidRDefault="00D27E40" w:rsidP="00966703">
      <w:pPr>
        <w:pStyle w:val="ARCATSubPara"/>
      </w:pPr>
      <w:r w:rsidRPr="007208A6">
        <w:t xml:space="preserve">Factory Finishes: </w:t>
      </w:r>
    </w:p>
    <w:p w14:paraId="2DC09578" w14:textId="36779F16" w:rsidR="00D27E40" w:rsidRDefault="00D27E40" w:rsidP="00A73E6C">
      <w:pPr>
        <w:pStyle w:val="ARCATSubSub1"/>
      </w:pPr>
      <w:r w:rsidRPr="007208A6">
        <w:t xml:space="preserve">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1DCFAA5E" w:rsidR="00A73E6C" w:rsidRDefault="00FB6D1E" w:rsidP="005F7D74">
      <w:pPr>
        <w:pStyle w:val="ARCATSubSub3"/>
      </w:pPr>
      <w:r>
        <w:rPr>
          <w:u w:val="single"/>
        </w:rPr>
        <w:t>A</w:t>
      </w:r>
      <w:r w:rsidR="00A73E6C" w:rsidRPr="00A73E6C">
        <w:rPr>
          <w:u w:val="single"/>
        </w:rPr>
        <w:t>A</w:t>
      </w:r>
      <w:r w:rsidR="005F7D74">
        <w:tab/>
      </w:r>
      <w:r w:rsidR="00A73E6C">
        <w:t>Clear Anodized, 0.0004 inch (10 micron) clear anodizing.</w:t>
      </w:r>
    </w:p>
    <w:p w14:paraId="185BFBB2" w14:textId="04CE3019" w:rsidR="00A73E6C" w:rsidRPr="0034389C" w:rsidRDefault="00A73E6C" w:rsidP="00A73E6C">
      <w:pPr>
        <w:pStyle w:val="ARCATSubSub2"/>
        <w:rPr>
          <w:color w:val="0070C0"/>
        </w:rPr>
      </w:pPr>
      <w:r w:rsidRPr="0034389C">
        <w:rPr>
          <w:color w:val="0070C0"/>
        </w:rPr>
        <w:t>Options:</w:t>
      </w:r>
    </w:p>
    <w:p w14:paraId="7517E8DA" w14:textId="1589A73C" w:rsidR="00A73E6C" w:rsidRPr="0034389C" w:rsidRDefault="00A73E6C" w:rsidP="005F7D74">
      <w:pPr>
        <w:pStyle w:val="ARCATSubSub3"/>
        <w:numPr>
          <w:ilvl w:val="6"/>
          <w:numId w:val="15"/>
        </w:numPr>
        <w:rPr>
          <w:color w:val="0070C0"/>
        </w:rPr>
      </w:pPr>
      <w:r w:rsidRPr="0034389C">
        <w:rPr>
          <w:color w:val="0070C0"/>
          <w:u w:val="single"/>
        </w:rPr>
        <w:t>WH</w:t>
      </w:r>
      <w:r w:rsidR="005F7D74" w:rsidRPr="0034389C">
        <w:rPr>
          <w:color w:val="0070C0"/>
        </w:rPr>
        <w:tab/>
      </w:r>
      <w:r w:rsidRPr="0034389C">
        <w:rPr>
          <w:color w:val="0070C0"/>
        </w:rPr>
        <w:t xml:space="preserve">White, </w:t>
      </w:r>
      <w:proofErr w:type="spellStart"/>
      <w:r w:rsidRPr="0034389C">
        <w:rPr>
          <w:color w:val="0070C0"/>
        </w:rPr>
        <w:t>Duracron</w:t>
      </w:r>
      <w:proofErr w:type="spellEnd"/>
      <w:r w:rsidRPr="0034389C">
        <w:rPr>
          <w:color w:val="0070C0"/>
        </w:rPr>
        <w:t xml:space="preserve"> acrylic paint K1285</w:t>
      </w:r>
    </w:p>
    <w:p w14:paraId="20404889" w14:textId="26D9CF93" w:rsidR="00A73E6C" w:rsidRPr="0034389C" w:rsidRDefault="00A73E6C" w:rsidP="005F7D74">
      <w:pPr>
        <w:pStyle w:val="ARCATSubSub3"/>
        <w:rPr>
          <w:color w:val="0070C0"/>
        </w:rPr>
      </w:pPr>
      <w:r w:rsidRPr="0034389C">
        <w:rPr>
          <w:color w:val="0070C0"/>
          <w:u w:val="single"/>
        </w:rPr>
        <w:t>MB</w:t>
      </w:r>
      <w:r w:rsidR="005F7D74" w:rsidRPr="0034389C">
        <w:rPr>
          <w:color w:val="0070C0"/>
        </w:rPr>
        <w:tab/>
      </w:r>
      <w:r w:rsidRPr="0034389C">
        <w:rPr>
          <w:color w:val="0070C0"/>
        </w:rPr>
        <w:t xml:space="preserve">Medium Bronze, </w:t>
      </w:r>
      <w:proofErr w:type="spellStart"/>
      <w:r w:rsidRPr="0034389C">
        <w:rPr>
          <w:color w:val="0070C0"/>
        </w:rPr>
        <w:t>Duracron</w:t>
      </w:r>
      <w:proofErr w:type="spellEnd"/>
      <w:r w:rsidRPr="0034389C">
        <w:rPr>
          <w:color w:val="0070C0"/>
        </w:rPr>
        <w:t xml:space="preserve"> acrylic paint K71232</w:t>
      </w:r>
    </w:p>
    <w:p w14:paraId="402E68EB" w14:textId="5EE9FB29" w:rsidR="00A73E6C" w:rsidRPr="0034389C" w:rsidRDefault="00A73E6C" w:rsidP="005F7D74">
      <w:pPr>
        <w:pStyle w:val="ARCATSubSub3"/>
        <w:rPr>
          <w:color w:val="0070C0"/>
        </w:rPr>
      </w:pPr>
      <w:r w:rsidRPr="0034389C">
        <w:rPr>
          <w:color w:val="0070C0"/>
          <w:u w:val="single"/>
        </w:rPr>
        <w:t>BL</w:t>
      </w:r>
      <w:r w:rsidR="005F7D74" w:rsidRPr="0034389C">
        <w:rPr>
          <w:color w:val="0070C0"/>
        </w:rPr>
        <w:tab/>
      </w:r>
      <w:r w:rsidRPr="0034389C">
        <w:rPr>
          <w:color w:val="0070C0"/>
        </w:rPr>
        <w:t xml:space="preserve">Black, </w:t>
      </w:r>
      <w:proofErr w:type="spellStart"/>
      <w:r w:rsidRPr="0034389C">
        <w:rPr>
          <w:color w:val="0070C0"/>
        </w:rPr>
        <w:t>Duracron</w:t>
      </w:r>
      <w:proofErr w:type="spellEnd"/>
      <w:r w:rsidRPr="0034389C">
        <w:rPr>
          <w:color w:val="0070C0"/>
        </w:rPr>
        <w:t xml:space="preserve"> acrylic paint K90421</w:t>
      </w:r>
    </w:p>
    <w:p w14:paraId="3F556D78" w14:textId="421DDE90" w:rsidR="00A73E6C" w:rsidRPr="0034389C" w:rsidRDefault="00A73E6C" w:rsidP="005F7D74">
      <w:pPr>
        <w:pStyle w:val="ARCATSubSub3"/>
        <w:rPr>
          <w:color w:val="0070C0"/>
        </w:rPr>
      </w:pPr>
      <w:r w:rsidRPr="0034389C">
        <w:rPr>
          <w:color w:val="0070C0"/>
          <w:u w:val="single"/>
        </w:rPr>
        <w:t>CC</w:t>
      </w:r>
      <w:r w:rsidR="005F7D74" w:rsidRPr="0034389C">
        <w:rPr>
          <w:color w:val="0070C0"/>
        </w:rPr>
        <w:tab/>
      </w:r>
      <w:r w:rsidRPr="0034389C">
        <w:rPr>
          <w:color w:val="0070C0"/>
        </w:rPr>
        <w:t xml:space="preserve">Custom </w:t>
      </w:r>
      <w:proofErr w:type="spellStart"/>
      <w:r w:rsidRPr="0034389C">
        <w:rPr>
          <w:color w:val="0070C0"/>
        </w:rPr>
        <w:t>Colour</w:t>
      </w:r>
      <w:proofErr w:type="spellEnd"/>
      <w:r w:rsidRPr="0034389C">
        <w:rPr>
          <w:color w:val="0070C0"/>
        </w:rPr>
        <w:t xml:space="preserve">, </w:t>
      </w:r>
      <w:proofErr w:type="spellStart"/>
      <w:r w:rsidRPr="0034389C">
        <w:rPr>
          <w:color w:val="0070C0"/>
        </w:rPr>
        <w:t>Duracron</w:t>
      </w:r>
      <w:proofErr w:type="spellEnd"/>
      <w:r w:rsidRPr="0034389C">
        <w:rPr>
          <w:color w:val="0070C0"/>
        </w:rPr>
        <w:t xml:space="preserve"> acrylic paint or Powder Coat Finish.</w:t>
      </w: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00B15896" w14:textId="77777777" w:rsidR="00D27E40" w:rsidRPr="007208A6" w:rsidRDefault="00D27E40" w:rsidP="00966703">
      <w:pPr>
        <w:pStyle w:val="ARCATArticle"/>
      </w:pPr>
      <w:r w:rsidRPr="007208A6">
        <w:t>ACCESSORIES</w:t>
      </w:r>
    </w:p>
    <w:p w14:paraId="2EA028F7" w14:textId="77777777" w:rsidR="00D27E40" w:rsidRPr="007208A6" w:rsidRDefault="00D27E40" w:rsidP="00D27E40">
      <w:pPr>
        <w:pStyle w:val="ARCATBlank"/>
        <w:rPr>
          <w:rFonts w:asciiTheme="minorHAnsi" w:hAnsiTheme="minorHAnsi" w:cstheme="minorHAnsi"/>
          <w:color w:val="auto"/>
        </w:rPr>
      </w:pPr>
    </w:p>
    <w:p w14:paraId="51506798" w14:textId="77777777" w:rsidR="00D27E40" w:rsidRPr="007208A6" w:rsidRDefault="00986341" w:rsidP="00966703">
      <w:pPr>
        <w:pStyle w:val="ARCATParagraph"/>
      </w:pPr>
      <w:r w:rsidRPr="007208A6">
        <w:t>Fasteners</w:t>
      </w:r>
      <w:r w:rsidR="00D27E40" w:rsidRPr="007208A6">
        <w:t>: Galvanized or corrosion resistant steel.</w:t>
      </w:r>
    </w:p>
    <w:p w14:paraId="14A30BB9" w14:textId="77777777" w:rsidR="00D27E40" w:rsidRPr="007208A6" w:rsidRDefault="00D27E40" w:rsidP="00D27E40">
      <w:pPr>
        <w:pStyle w:val="ARCATBlank"/>
        <w:rPr>
          <w:rFonts w:asciiTheme="minorHAnsi" w:hAnsiTheme="minorHAnsi" w:cstheme="minorHAnsi"/>
          <w:color w:val="auto"/>
        </w:rPr>
      </w:pPr>
    </w:p>
    <w:p w14:paraId="4E057DBD" w14:textId="77777777" w:rsidR="00D27E40" w:rsidRPr="007208A6" w:rsidRDefault="00D27E40" w:rsidP="00966703">
      <w:pPr>
        <w:pStyle w:val="ARCATArticle"/>
      </w:pPr>
      <w:r w:rsidRPr="007208A6">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73DF617E" w14:textId="77777777" w:rsidR="00D27E40" w:rsidRPr="007208A6" w:rsidRDefault="00D27E40" w:rsidP="00966703">
      <w:pPr>
        <w:pStyle w:val="ARCATParagraph"/>
      </w:pPr>
      <w:r w:rsidRPr="007208A6">
        <w:t>Accurately and rigidly fit joints and corners.</w:t>
      </w:r>
    </w:p>
    <w:p w14:paraId="1EB65FB8" w14:textId="3F6F7B12" w:rsidR="004D0252" w:rsidRDefault="004D0252" w:rsidP="00D27E40">
      <w:pPr>
        <w:pStyle w:val="ARCATBlank"/>
        <w:rPr>
          <w:rFonts w:asciiTheme="minorHAnsi" w:hAnsiTheme="minorHAnsi" w:cstheme="minorHAnsi"/>
          <w:color w:val="auto"/>
        </w:rPr>
      </w:pPr>
    </w:p>
    <w:p w14:paraId="32D125BA" w14:textId="1CA10F4A" w:rsidR="00D303F8" w:rsidRDefault="00D303F8" w:rsidP="00D27E40">
      <w:pPr>
        <w:pStyle w:val="ARCATBlank"/>
        <w:rPr>
          <w:rFonts w:asciiTheme="minorHAnsi" w:hAnsiTheme="minorHAnsi" w:cstheme="minorHAnsi"/>
          <w:color w:val="auto"/>
        </w:rPr>
      </w:pPr>
    </w:p>
    <w:p w14:paraId="69D43EA1" w14:textId="0E73A1E6" w:rsidR="00D303F8" w:rsidRDefault="00D303F8" w:rsidP="00D27E40">
      <w:pPr>
        <w:pStyle w:val="ARCATBlank"/>
        <w:rPr>
          <w:rFonts w:asciiTheme="minorHAnsi" w:hAnsiTheme="minorHAnsi" w:cstheme="minorHAnsi"/>
          <w:color w:val="auto"/>
        </w:rPr>
      </w:pPr>
    </w:p>
    <w:p w14:paraId="0516AE41" w14:textId="5227A1D8" w:rsidR="00D303F8" w:rsidRDefault="00D303F8" w:rsidP="00D27E40">
      <w:pPr>
        <w:pStyle w:val="ARCATBlank"/>
        <w:rPr>
          <w:rFonts w:asciiTheme="minorHAnsi" w:hAnsiTheme="minorHAnsi" w:cstheme="minorHAnsi"/>
          <w:color w:val="auto"/>
        </w:rPr>
      </w:pPr>
    </w:p>
    <w:p w14:paraId="5578B814" w14:textId="77777777" w:rsidR="00D303F8" w:rsidRPr="007208A6" w:rsidRDefault="00D303F8" w:rsidP="00D27E40">
      <w:pPr>
        <w:pStyle w:val="ARCATBlank"/>
        <w:rPr>
          <w:rFonts w:asciiTheme="minorHAnsi" w:hAnsiTheme="minorHAnsi" w:cstheme="minorHAnsi"/>
          <w:color w:val="auto"/>
        </w:rPr>
      </w:pPr>
      <w:bookmarkStart w:id="0" w:name="_GoBack"/>
      <w:bookmarkEnd w:id="0"/>
    </w:p>
    <w:p w14:paraId="61602951"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lastRenderedPageBreak/>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7351180B" w14:textId="77777777" w:rsidR="00D27E40" w:rsidRPr="007208A6" w:rsidRDefault="00D27E40" w:rsidP="00966703">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DBEE" w14:textId="77777777" w:rsidR="00E734D2" w:rsidRDefault="00E734D2" w:rsidP="00065B93">
      <w:pPr>
        <w:spacing w:after="0"/>
      </w:pPr>
      <w:r>
        <w:separator/>
      </w:r>
    </w:p>
  </w:endnote>
  <w:endnote w:type="continuationSeparator" w:id="0">
    <w:p w14:paraId="3BF9DD07" w14:textId="77777777" w:rsidR="00E734D2" w:rsidRDefault="00E734D2"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BB0AED"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13C8" w14:textId="77777777" w:rsidR="00E734D2" w:rsidRDefault="00E734D2" w:rsidP="00065B93">
      <w:pPr>
        <w:spacing w:after="0"/>
      </w:pPr>
      <w:r>
        <w:separator/>
      </w:r>
    </w:p>
  </w:footnote>
  <w:footnote w:type="continuationSeparator" w:id="0">
    <w:p w14:paraId="637931FC" w14:textId="77777777" w:rsidR="00E734D2" w:rsidRDefault="00E734D2"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AB03E"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D171E"/>
    <w:rsid w:val="000D175B"/>
    <w:rsid w:val="000D3BBD"/>
    <w:rsid w:val="000E2074"/>
    <w:rsid w:val="0011037A"/>
    <w:rsid w:val="0011379A"/>
    <w:rsid w:val="00144763"/>
    <w:rsid w:val="00145856"/>
    <w:rsid w:val="001759EF"/>
    <w:rsid w:val="00187F8F"/>
    <w:rsid w:val="001B4503"/>
    <w:rsid w:val="001C028F"/>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1233E"/>
    <w:rsid w:val="00335EDA"/>
    <w:rsid w:val="0034389C"/>
    <w:rsid w:val="003440EA"/>
    <w:rsid w:val="003546B7"/>
    <w:rsid w:val="00357346"/>
    <w:rsid w:val="0037788C"/>
    <w:rsid w:val="003A4154"/>
    <w:rsid w:val="003A7150"/>
    <w:rsid w:val="003F4FA7"/>
    <w:rsid w:val="00466F19"/>
    <w:rsid w:val="00492466"/>
    <w:rsid w:val="004B2B5D"/>
    <w:rsid w:val="004C1DFC"/>
    <w:rsid w:val="004C40A3"/>
    <w:rsid w:val="004D0252"/>
    <w:rsid w:val="004E73BB"/>
    <w:rsid w:val="00535F5E"/>
    <w:rsid w:val="005710C5"/>
    <w:rsid w:val="0058471D"/>
    <w:rsid w:val="005E7999"/>
    <w:rsid w:val="005F7D74"/>
    <w:rsid w:val="00630A15"/>
    <w:rsid w:val="00631686"/>
    <w:rsid w:val="00662AD5"/>
    <w:rsid w:val="006638B7"/>
    <w:rsid w:val="00681F48"/>
    <w:rsid w:val="00682892"/>
    <w:rsid w:val="0069147C"/>
    <w:rsid w:val="00695511"/>
    <w:rsid w:val="006A6DD5"/>
    <w:rsid w:val="006B6A13"/>
    <w:rsid w:val="006D3ECF"/>
    <w:rsid w:val="006D4205"/>
    <w:rsid w:val="006D6140"/>
    <w:rsid w:val="006E3FE2"/>
    <w:rsid w:val="007004E3"/>
    <w:rsid w:val="0070189C"/>
    <w:rsid w:val="007208A6"/>
    <w:rsid w:val="007342B1"/>
    <w:rsid w:val="007570D4"/>
    <w:rsid w:val="00794E73"/>
    <w:rsid w:val="007B1725"/>
    <w:rsid w:val="007B7FCB"/>
    <w:rsid w:val="007E1E31"/>
    <w:rsid w:val="007E5C24"/>
    <w:rsid w:val="007F2B1F"/>
    <w:rsid w:val="007F7663"/>
    <w:rsid w:val="00815EC7"/>
    <w:rsid w:val="00825C7A"/>
    <w:rsid w:val="008279F9"/>
    <w:rsid w:val="008340CA"/>
    <w:rsid w:val="00836220"/>
    <w:rsid w:val="00837520"/>
    <w:rsid w:val="00867E92"/>
    <w:rsid w:val="008806CE"/>
    <w:rsid w:val="00894475"/>
    <w:rsid w:val="008A56AB"/>
    <w:rsid w:val="008A7323"/>
    <w:rsid w:val="008F517A"/>
    <w:rsid w:val="008F6E8E"/>
    <w:rsid w:val="008F7BC8"/>
    <w:rsid w:val="008F7C5C"/>
    <w:rsid w:val="009050A7"/>
    <w:rsid w:val="009542D4"/>
    <w:rsid w:val="009641FC"/>
    <w:rsid w:val="00966703"/>
    <w:rsid w:val="00972166"/>
    <w:rsid w:val="009733A6"/>
    <w:rsid w:val="00986341"/>
    <w:rsid w:val="009B4DA0"/>
    <w:rsid w:val="009C5CEF"/>
    <w:rsid w:val="009D0637"/>
    <w:rsid w:val="009E0E27"/>
    <w:rsid w:val="009E1891"/>
    <w:rsid w:val="009F1F11"/>
    <w:rsid w:val="00A10326"/>
    <w:rsid w:val="00A34F28"/>
    <w:rsid w:val="00A56ADF"/>
    <w:rsid w:val="00A648F3"/>
    <w:rsid w:val="00A732B0"/>
    <w:rsid w:val="00A73B25"/>
    <w:rsid w:val="00A73E6C"/>
    <w:rsid w:val="00AA297D"/>
    <w:rsid w:val="00AC3B73"/>
    <w:rsid w:val="00AC53EA"/>
    <w:rsid w:val="00AC6DFA"/>
    <w:rsid w:val="00AF1599"/>
    <w:rsid w:val="00B012C2"/>
    <w:rsid w:val="00B27DE7"/>
    <w:rsid w:val="00B30951"/>
    <w:rsid w:val="00B81194"/>
    <w:rsid w:val="00B96B87"/>
    <w:rsid w:val="00BA1984"/>
    <w:rsid w:val="00BA6BC3"/>
    <w:rsid w:val="00BB526D"/>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303F8"/>
    <w:rsid w:val="00D437CD"/>
    <w:rsid w:val="00D51D31"/>
    <w:rsid w:val="00DB451C"/>
    <w:rsid w:val="00DD45F2"/>
    <w:rsid w:val="00E0726D"/>
    <w:rsid w:val="00E11EFB"/>
    <w:rsid w:val="00E26175"/>
    <w:rsid w:val="00E51830"/>
    <w:rsid w:val="00E66759"/>
    <w:rsid w:val="00E734D2"/>
    <w:rsid w:val="00E80EE1"/>
    <w:rsid w:val="00E955BB"/>
    <w:rsid w:val="00EB0F34"/>
    <w:rsid w:val="00ED2315"/>
    <w:rsid w:val="00F248A4"/>
    <w:rsid w:val="00F41B7A"/>
    <w:rsid w:val="00F44493"/>
    <w:rsid w:val="00F55445"/>
    <w:rsid w:val="00F73D51"/>
    <w:rsid w:val="00F861F2"/>
    <w:rsid w:val="00F91428"/>
    <w:rsid w:val="00FB254B"/>
    <w:rsid w:val="00FB6D1E"/>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F76C"/>
  <w15:docId w15:val="{88BA37FE-2688-4553-9442-FE001191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CF0C-458E-4EBF-A527-C76EA58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7</cp:revision>
  <cp:lastPrinted>2019-11-14T14:27:00Z</cp:lastPrinted>
  <dcterms:created xsi:type="dcterms:W3CDTF">2019-11-14T17:49:00Z</dcterms:created>
  <dcterms:modified xsi:type="dcterms:W3CDTF">2019-11-22T02:47:00Z</dcterms:modified>
</cp:coreProperties>
</file>